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8" w:rsidRPr="00131908" w:rsidRDefault="007C1442" w:rsidP="00131908">
      <w:pPr>
        <w:spacing w:before="10"/>
        <w:jc w:val="center"/>
        <w:rPr>
          <w:rFonts w:eastAsia="Times New Roman" w:cs="Times New Roman"/>
          <w:sz w:val="28"/>
          <w:szCs w:val="28"/>
        </w:rPr>
      </w:pPr>
      <w:r w:rsidRPr="00131908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D6A36" wp14:editId="72905961">
            <wp:simplePos x="0" y="0"/>
            <wp:positionH relativeFrom="column">
              <wp:posOffset>5514975</wp:posOffset>
            </wp:positionH>
            <wp:positionV relativeFrom="paragraph">
              <wp:posOffset>6985</wp:posOffset>
            </wp:positionV>
            <wp:extent cx="1645920" cy="1371600"/>
            <wp:effectExtent l="0" t="0" r="0" b="0"/>
            <wp:wrapNone/>
            <wp:docPr id="3" name="Picture 3" descr="CINDRR Logo" title="CIND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R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908" w:rsidRPr="00131908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FA3F82" wp14:editId="20633ED0">
            <wp:simplePos x="0" y="0"/>
            <wp:positionH relativeFrom="column">
              <wp:posOffset>147955</wp:posOffset>
            </wp:positionH>
            <wp:positionV relativeFrom="paragraph">
              <wp:posOffset>6985</wp:posOffset>
            </wp:positionV>
            <wp:extent cx="1380490" cy="1371600"/>
            <wp:effectExtent l="0" t="0" r="0" b="0"/>
            <wp:wrapNone/>
            <wp:docPr id="1" name="Picture 1" descr="James A Haley Logo" title="Ha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ey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1908" w:rsidRPr="00131908" w:rsidRDefault="00131908" w:rsidP="00131908">
      <w:pPr>
        <w:spacing w:before="10"/>
        <w:jc w:val="center"/>
        <w:rPr>
          <w:rFonts w:eastAsia="Times New Roman" w:cs="Times New Roman"/>
          <w:sz w:val="28"/>
          <w:szCs w:val="28"/>
        </w:rPr>
      </w:pPr>
      <w:r w:rsidRPr="00131908">
        <w:rPr>
          <w:rFonts w:eastAsia="Times New Roman" w:cs="Times New Roman"/>
          <w:sz w:val="28"/>
          <w:szCs w:val="28"/>
        </w:rPr>
        <w:t>Department of Veterans Affairs</w:t>
      </w:r>
    </w:p>
    <w:p w:rsidR="00131908" w:rsidRPr="00131908" w:rsidRDefault="00131908" w:rsidP="00131908">
      <w:pPr>
        <w:spacing w:before="10"/>
        <w:jc w:val="center"/>
        <w:rPr>
          <w:rFonts w:eastAsia="Times New Roman" w:cs="Times New Roman"/>
          <w:sz w:val="28"/>
          <w:szCs w:val="28"/>
        </w:rPr>
      </w:pPr>
      <w:r w:rsidRPr="00131908">
        <w:rPr>
          <w:rFonts w:eastAsia="Times New Roman" w:cs="Times New Roman"/>
          <w:b/>
          <w:sz w:val="56"/>
          <w:szCs w:val="28"/>
        </w:rPr>
        <w:t>Fellowship Opportunities</w:t>
      </w:r>
      <w:r w:rsidRPr="00131908">
        <w:rPr>
          <w:rFonts w:eastAsia="Times New Roman" w:cs="Times New Roman"/>
          <w:sz w:val="28"/>
          <w:szCs w:val="28"/>
        </w:rPr>
        <w:br/>
      </w:r>
      <w:bookmarkStart w:id="0" w:name="_GoBack"/>
      <w:bookmarkEnd w:id="0"/>
      <w:r w:rsidRPr="00131908">
        <w:rPr>
          <w:rFonts w:eastAsia="Times New Roman" w:cs="Times New Roman"/>
          <w:sz w:val="28"/>
          <w:szCs w:val="28"/>
        </w:rPr>
        <w:t>HSR&amp;D Center of Innovation on Disability and</w:t>
      </w:r>
      <w:r>
        <w:rPr>
          <w:rFonts w:eastAsia="Times New Roman" w:cs="Times New Roman"/>
          <w:sz w:val="28"/>
          <w:szCs w:val="28"/>
        </w:rPr>
        <w:br/>
      </w:r>
      <w:r w:rsidRPr="00131908">
        <w:rPr>
          <w:rFonts w:eastAsia="Times New Roman" w:cs="Times New Roman"/>
          <w:sz w:val="28"/>
          <w:szCs w:val="28"/>
        </w:rPr>
        <w:t>Rehabilitation Rese</w:t>
      </w:r>
      <w:r>
        <w:rPr>
          <w:rFonts w:eastAsia="Times New Roman" w:cs="Times New Roman"/>
          <w:sz w:val="28"/>
          <w:szCs w:val="28"/>
        </w:rPr>
        <w:t>a</w:t>
      </w:r>
      <w:r w:rsidRPr="00131908">
        <w:rPr>
          <w:rFonts w:eastAsia="Times New Roman" w:cs="Times New Roman"/>
          <w:sz w:val="28"/>
          <w:szCs w:val="28"/>
        </w:rPr>
        <w:t>rch VISN 8 (CINDRR)</w:t>
      </w:r>
    </w:p>
    <w:p w:rsidR="00131908" w:rsidRDefault="001319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31908" w:rsidRDefault="001319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31908" w:rsidRDefault="001319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31908" w:rsidRDefault="001319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31908" w:rsidRDefault="001319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001AF" w:rsidRDefault="006001A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001AF" w:rsidRDefault="006001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C1442" w:rsidRDefault="007C144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C1442" w:rsidRDefault="007C144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131908" w:rsidRDefault="00131908" w:rsidP="007C1442">
      <w:pPr>
        <w:pStyle w:val="TableParagraph"/>
        <w:jc w:val="center"/>
        <w:rPr>
          <w:rFonts w:ascii="Calibri" w:eastAsia="Calibri" w:hAnsi="Calibri" w:cs="Calibri"/>
          <w:sz w:val="28"/>
          <w:szCs w:val="28"/>
        </w:rPr>
      </w:pPr>
      <w:r w:rsidRPr="007C1442">
        <w:rPr>
          <w:rFonts w:ascii="Calibri"/>
          <w:b/>
          <w:color w:val="365F91" w:themeColor="accent1" w:themeShade="BF"/>
          <w:spacing w:val="-1"/>
          <w:sz w:val="28"/>
        </w:rPr>
        <w:t xml:space="preserve">Focus </w:t>
      </w:r>
      <w:proofErr w:type="gramStart"/>
      <w:r w:rsidRPr="007C1442">
        <w:rPr>
          <w:rFonts w:ascii="Calibri"/>
          <w:b/>
          <w:color w:val="365F91" w:themeColor="accent1" w:themeShade="BF"/>
          <w:spacing w:val="-1"/>
          <w:sz w:val="28"/>
        </w:rPr>
        <w:t>Area  #</w:t>
      </w:r>
      <w:proofErr w:type="gramEnd"/>
      <w:r w:rsidRPr="007C1442">
        <w:rPr>
          <w:rFonts w:ascii="Calibri"/>
          <w:b/>
          <w:color w:val="365F91" w:themeColor="accent1" w:themeShade="BF"/>
          <w:spacing w:val="-1"/>
          <w:sz w:val="28"/>
        </w:rPr>
        <w:t>1:</w:t>
      </w:r>
      <w:r w:rsidR="007C1442" w:rsidRPr="007C1442"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Postdoctoral Fellowship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1"/>
          <w:sz w:val="28"/>
        </w:rPr>
        <w:t xml:space="preserve"> Health Services</w:t>
      </w:r>
      <w:r w:rsidR="007C1442">
        <w:rPr>
          <w:rFonts w:ascii="Calibri"/>
          <w:b/>
          <w:spacing w:val="-1"/>
          <w:sz w:val="28"/>
        </w:rPr>
        <w:br/>
      </w:r>
      <w:r>
        <w:rPr>
          <w:rFonts w:ascii="Calibri"/>
          <w:b/>
          <w:spacing w:val="-1"/>
          <w:sz w:val="28"/>
        </w:rPr>
        <w:t>Research</w:t>
      </w:r>
      <w:r w:rsidR="007C1442"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Development</w:t>
      </w:r>
      <w:r>
        <w:rPr>
          <w:rFonts w:ascii="Calibri"/>
          <w:b/>
          <w:spacing w:val="37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1"/>
          <w:sz w:val="28"/>
        </w:rPr>
        <w:t xml:space="preserve"> Rehabilitation Outcome</w:t>
      </w:r>
    </w:p>
    <w:p w:rsidR="00131908" w:rsidRDefault="00131908">
      <w:pPr>
        <w:pStyle w:val="TableParagraph"/>
        <w:tabs>
          <w:tab w:val="left" w:pos="1776"/>
        </w:tabs>
        <w:spacing w:before="118" w:line="239" w:lineRule="auto"/>
        <w:ind w:left="119" w:right="27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purpose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2-year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fellowship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develop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cadre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scientists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health services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expertise</w:t>
      </w:r>
      <w:r>
        <w:rPr>
          <w:rFonts w:ascii="Calibri"/>
          <w:spacing w:val="79"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healthcare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system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foster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 xml:space="preserve">high </w:t>
      </w:r>
      <w:r>
        <w:rPr>
          <w:rFonts w:ascii="Calibri"/>
          <w:spacing w:val="-2"/>
        </w:rPr>
        <w:t>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health services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and development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fellowship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located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RR&amp;D/HSR&amp;D Center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Excellence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Rehabilitation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Outcomes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Tampa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Hospital,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Tampa,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FL in collaboration 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HSR&amp;D Service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partnership with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University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 xml:space="preserve">South </w:t>
      </w:r>
      <w:r>
        <w:rPr>
          <w:rFonts w:ascii="Calibri"/>
          <w:spacing w:val="-2"/>
        </w:rPr>
        <w:t>Florida.</w:t>
      </w:r>
    </w:p>
    <w:p w:rsidR="007C1442" w:rsidRDefault="007C1442">
      <w:pPr>
        <w:pStyle w:val="TableParagraph"/>
        <w:spacing w:before="111"/>
        <w:ind w:left="2146"/>
        <w:rPr>
          <w:b/>
          <w:color w:val="365F91"/>
          <w:spacing w:val="-1"/>
          <w:sz w:val="28"/>
          <w:szCs w:val="28"/>
        </w:rPr>
      </w:pPr>
    </w:p>
    <w:p w:rsidR="00131908" w:rsidRPr="007C1442" w:rsidRDefault="00131908">
      <w:pPr>
        <w:pStyle w:val="TableParagraph"/>
        <w:spacing w:before="111"/>
        <w:ind w:left="2146"/>
        <w:rPr>
          <w:rFonts w:eastAsia="Calibri" w:cs="Calibri"/>
          <w:sz w:val="28"/>
          <w:szCs w:val="28"/>
        </w:rPr>
      </w:pPr>
      <w:r w:rsidRPr="007C1442">
        <w:rPr>
          <w:b/>
          <w:color w:val="365F91"/>
          <w:spacing w:val="-1"/>
          <w:sz w:val="28"/>
          <w:szCs w:val="28"/>
        </w:rPr>
        <w:t>Focus</w:t>
      </w:r>
      <w:r w:rsidRPr="007C1442">
        <w:rPr>
          <w:b/>
          <w:color w:val="365F91"/>
          <w:sz w:val="28"/>
          <w:szCs w:val="28"/>
        </w:rPr>
        <w:t xml:space="preserve"> </w:t>
      </w:r>
      <w:r w:rsidRPr="007C1442">
        <w:rPr>
          <w:b/>
          <w:color w:val="365F91"/>
          <w:spacing w:val="-1"/>
          <w:sz w:val="28"/>
          <w:szCs w:val="28"/>
        </w:rPr>
        <w:t>Area</w:t>
      </w:r>
      <w:r w:rsidRPr="007C1442">
        <w:rPr>
          <w:b/>
          <w:color w:val="365F91"/>
          <w:sz w:val="28"/>
          <w:szCs w:val="28"/>
        </w:rPr>
        <w:t xml:space="preserve"> #2</w:t>
      </w:r>
      <w:r w:rsidR="007C1442">
        <w:rPr>
          <w:b/>
          <w:color w:val="365F91"/>
          <w:sz w:val="28"/>
          <w:szCs w:val="28"/>
        </w:rPr>
        <w:t xml:space="preserve">: </w:t>
      </w:r>
      <w:r w:rsidRPr="007C1442">
        <w:rPr>
          <w:b/>
          <w:spacing w:val="-1"/>
          <w:sz w:val="28"/>
          <w:szCs w:val="28"/>
        </w:rPr>
        <w:t>Interdisciplinary</w:t>
      </w:r>
      <w:r w:rsidRPr="007C1442">
        <w:rPr>
          <w:b/>
          <w:spacing w:val="-2"/>
          <w:sz w:val="28"/>
          <w:szCs w:val="28"/>
        </w:rPr>
        <w:t xml:space="preserve"> </w:t>
      </w:r>
      <w:r w:rsidRPr="007C1442">
        <w:rPr>
          <w:b/>
          <w:spacing w:val="-1"/>
          <w:sz w:val="28"/>
          <w:szCs w:val="28"/>
        </w:rPr>
        <w:t xml:space="preserve">Fellowship </w:t>
      </w:r>
      <w:r w:rsidRPr="007C1442">
        <w:rPr>
          <w:b/>
          <w:sz w:val="28"/>
          <w:szCs w:val="28"/>
        </w:rPr>
        <w:t>in</w:t>
      </w:r>
      <w:r w:rsidRPr="007C1442">
        <w:rPr>
          <w:b/>
          <w:spacing w:val="-1"/>
          <w:sz w:val="28"/>
          <w:szCs w:val="28"/>
        </w:rPr>
        <w:t xml:space="preserve"> Patient</w:t>
      </w:r>
      <w:r w:rsidRPr="007C1442">
        <w:rPr>
          <w:b/>
          <w:sz w:val="28"/>
          <w:szCs w:val="28"/>
        </w:rPr>
        <w:t xml:space="preserve"> </w:t>
      </w:r>
      <w:r w:rsidRPr="007C1442">
        <w:rPr>
          <w:b/>
          <w:spacing w:val="-1"/>
          <w:sz w:val="28"/>
          <w:szCs w:val="28"/>
        </w:rPr>
        <w:t>Safety</w:t>
      </w:r>
    </w:p>
    <w:p w:rsidR="00131908" w:rsidRDefault="00131908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purpose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1-year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fellowship program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develop leaders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 vision,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knowledge,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commitment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lead patient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safety efforts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 </w:t>
      </w:r>
      <w:r>
        <w:rPr>
          <w:rFonts w:ascii="Calibri"/>
          <w:spacing w:val="-2"/>
        </w:rPr>
        <w:t xml:space="preserve">the </w:t>
      </w:r>
      <w:r>
        <w:rPr>
          <w:rFonts w:ascii="Calibri"/>
        </w:rPr>
        <w:t>21st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century.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fellowship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located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Safety Center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Inquiry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Tampa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Hospital,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Tampa,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FL in collaboration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VA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National</w:t>
      </w:r>
      <w:r>
        <w:rPr>
          <w:rFonts w:ascii="Calibri"/>
          <w:spacing w:val="56"/>
        </w:rPr>
        <w:t xml:space="preserve"> </w:t>
      </w:r>
      <w:r>
        <w:rPr>
          <w:rFonts w:ascii="Calibri"/>
          <w:spacing w:val="-1"/>
        </w:rPr>
        <w:t>Center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Safety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partnership 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University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South Florida.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r w:rsidRP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>Eligibility</w:t>
      </w:r>
      <w:r w:rsidR="007C1442" w:rsidRP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>:</w:t>
      </w:r>
      <w:r w:rsidR="007C1442">
        <w:rPr>
          <w:rFonts w:ascii="Calibri"/>
          <w:spacing w:val="-1"/>
        </w:rPr>
        <w:t xml:space="preserve"> </w:t>
      </w:r>
      <w:r w:rsidRPr="007C1442">
        <w:rPr>
          <w:rFonts w:ascii="Calibri"/>
          <w:b/>
          <w:spacing w:val="-1"/>
        </w:rPr>
        <w:t>Both</w:t>
      </w:r>
      <w:r w:rsidR="007C1442" w:rsidRPr="007C1442">
        <w:rPr>
          <w:rFonts w:ascii="Calibri"/>
          <w:b/>
          <w:spacing w:val="-1"/>
        </w:rPr>
        <w:t>—</w:t>
      </w:r>
      <w:r w:rsidR="007C1442">
        <w:rPr>
          <w:rFonts w:ascii="Calibri"/>
          <w:spacing w:val="-1"/>
        </w:rPr>
        <w:t xml:space="preserve">US </w:t>
      </w:r>
      <w:r>
        <w:rPr>
          <w:rFonts w:ascii="Calibri"/>
          <w:spacing w:val="-1"/>
        </w:rPr>
        <w:t>citizenship and completion of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all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requirements need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to be</w:t>
      </w:r>
      <w:r w:rsidRPr="007C1442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fully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credentialed independent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practitioner in their field at </w:t>
      </w:r>
      <w:r w:rsidRPr="007C1442">
        <w:rPr>
          <w:rFonts w:ascii="Calibri"/>
          <w:spacing w:val="-1"/>
        </w:rPr>
        <w:t>a</w:t>
      </w:r>
      <w:r>
        <w:rPr>
          <w:rFonts w:ascii="Calibri"/>
          <w:spacing w:val="-1"/>
        </w:rPr>
        <w:t xml:space="preserve"> VA facility. Physicians must have graduated from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 Accreditation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Council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for Graduate Medical Education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(ACGME) accredited residency; be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board certified or board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eligible and have an active, unrestricted U. S. medical license.</w:t>
      </w:r>
      <w:r w:rsidRPr="007C1442">
        <w:rPr>
          <w:rFonts w:ascii="Calibri"/>
          <w:spacing w:val="-1"/>
        </w:rPr>
        <w:t xml:space="preserve"> </w:t>
      </w:r>
      <w:proofErr w:type="gramStart"/>
      <w:r w:rsidRPr="007C1442">
        <w:rPr>
          <w:rFonts w:ascii="Calibri"/>
          <w:b/>
          <w:spacing w:val="-1"/>
        </w:rPr>
        <w:t>HSR&amp;D Fellowship</w:t>
      </w:r>
      <w:r w:rsidR="007C1442" w:rsidRPr="007C1442">
        <w:rPr>
          <w:rFonts w:ascii="Calibri"/>
          <w:b/>
          <w:spacing w:val="-1"/>
        </w:rPr>
        <w:t>—</w:t>
      </w:r>
      <w:r w:rsidR="007C1442">
        <w:rPr>
          <w:rFonts w:ascii="Calibri"/>
          <w:spacing w:val="-1"/>
        </w:rPr>
        <w:t xml:space="preserve">PhD </w:t>
      </w:r>
      <w:r>
        <w:rPr>
          <w:rFonts w:ascii="Calibri"/>
          <w:spacing w:val="-1"/>
        </w:rPr>
        <w:t>in their field.</w:t>
      </w:r>
      <w:proofErr w:type="gramEnd"/>
      <w:r w:rsidRPr="007C1442">
        <w:rPr>
          <w:rFonts w:ascii="Calibri"/>
          <w:spacing w:val="-1"/>
        </w:rPr>
        <w:t xml:space="preserve"> </w:t>
      </w:r>
      <w:r w:rsidR="007C1442">
        <w:rPr>
          <w:rFonts w:ascii="Calibri"/>
          <w:b/>
          <w:spacing w:val="-1"/>
        </w:rPr>
        <w:t>Patient Safety Fellowship—</w:t>
      </w:r>
      <w:r w:rsidR="007C1442" w:rsidRPr="007C1442">
        <w:rPr>
          <w:rFonts w:ascii="Calibri"/>
          <w:spacing w:val="-1"/>
        </w:rPr>
        <w:t>Clinical</w:t>
      </w:r>
      <w:r w:rsidR="007C1442"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fields that recognize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independent practitioners possessing degree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levels below that of Master's Degree (e.g.,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Registered Nurse or Registered Dietician)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must have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completed </w:t>
      </w:r>
      <w:r w:rsidRPr="007C1442">
        <w:rPr>
          <w:rFonts w:ascii="Calibri"/>
          <w:spacing w:val="-1"/>
        </w:rPr>
        <w:t>a</w:t>
      </w:r>
      <w:r>
        <w:rPr>
          <w:rFonts w:ascii="Calibri"/>
          <w:spacing w:val="-1"/>
        </w:rPr>
        <w:t xml:space="preserve"> Master's Degree (or all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requirements for the degree) to be eligible. Nurses, social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workers, and health care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administrators must possess at least </w:t>
      </w:r>
      <w:r w:rsidRPr="007C1442">
        <w:rPr>
          <w:rFonts w:ascii="Calibri"/>
          <w:spacing w:val="-1"/>
        </w:rPr>
        <w:t>a</w:t>
      </w:r>
      <w:r>
        <w:rPr>
          <w:rFonts w:ascii="Calibri"/>
          <w:spacing w:val="-1"/>
        </w:rPr>
        <w:t xml:space="preserve"> master's degree. Applicants in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academic fields that do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not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involve clinical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certification or licensure but that can be applicable to</w:t>
      </w:r>
      <w:r w:rsid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health systems (e.g.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anthropology,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sociology, computer science/medical informatics, engineering, etc.)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must have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received </w:t>
      </w:r>
      <w:r w:rsidRPr="007C1442">
        <w:rPr>
          <w:rFonts w:ascii="Calibri"/>
          <w:spacing w:val="-1"/>
        </w:rPr>
        <w:t>a</w:t>
      </w:r>
      <w:r>
        <w:rPr>
          <w:rFonts w:ascii="Calibri"/>
          <w:spacing w:val="-1"/>
        </w:rPr>
        <w:t xml:space="preserve"> PhD in their field.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r w:rsidRP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>Funding</w:t>
      </w:r>
      <w:r w:rsidR="007C1442" w:rsidRP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 xml:space="preserve">: </w:t>
      </w:r>
      <w:r>
        <w:rPr>
          <w:rFonts w:ascii="Calibri"/>
          <w:spacing w:val="-1"/>
        </w:rPr>
        <w:t>Stipend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rates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determined by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VA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Office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of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Academic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Affiliations,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depending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on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the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discipline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previous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education</w:t>
      </w:r>
      <w:r w:rsidRPr="007C1442">
        <w:rPr>
          <w:rFonts w:ascii="Calibri"/>
          <w:spacing w:val="-1"/>
        </w:rPr>
        <w:t xml:space="preserve"> of the </w:t>
      </w:r>
      <w:r>
        <w:rPr>
          <w:rFonts w:ascii="Calibri"/>
          <w:spacing w:val="-1"/>
        </w:rPr>
        <w:t>trainee.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Fellows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eligible</w:t>
      </w:r>
      <w:r w:rsidRPr="007C1442">
        <w:rPr>
          <w:rFonts w:ascii="Calibri"/>
          <w:spacing w:val="-1"/>
        </w:rPr>
        <w:t xml:space="preserve"> to </w:t>
      </w:r>
      <w:r>
        <w:rPr>
          <w:rFonts w:ascii="Calibri"/>
          <w:spacing w:val="-1"/>
        </w:rPr>
        <w:t>participate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 the</w:t>
      </w:r>
      <w:r w:rsidRPr="007C1442">
        <w:rPr>
          <w:rFonts w:ascii="Calibri"/>
          <w:spacing w:val="-1"/>
        </w:rPr>
        <w:t xml:space="preserve"> Federal </w:t>
      </w:r>
      <w:r>
        <w:rPr>
          <w:rFonts w:ascii="Calibri"/>
          <w:spacing w:val="-1"/>
        </w:rPr>
        <w:t>Employees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Health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Benefits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Program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 the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Federal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Employees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Group Life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Insurance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Program.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r w:rsidRP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>Application and Start Date</w:t>
      </w:r>
      <w:r w:rsidR="007C1442">
        <w:rPr>
          <w:rFonts w:ascii="Calibri"/>
          <w:b/>
          <w:color w:val="365F91" w:themeColor="accent1" w:themeShade="BF"/>
          <w:spacing w:val="-1"/>
          <w:sz w:val="24"/>
          <w:szCs w:val="24"/>
        </w:rPr>
        <w:t xml:space="preserve">s: </w:t>
      </w:r>
      <w:bookmarkStart w:id="1" w:name="The_deadline_for_application_is_February"/>
      <w:bookmarkEnd w:id="1"/>
      <w:r w:rsidR="007C1442">
        <w:rPr>
          <w:rFonts w:ascii="Calibri"/>
          <w:spacing w:val="-1"/>
        </w:rPr>
        <w:t>Th</w:t>
      </w:r>
      <w:r>
        <w:rPr>
          <w:rFonts w:ascii="Calibri"/>
          <w:spacing w:val="-1"/>
        </w:rPr>
        <w:t>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deadline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for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application is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February </w:t>
      </w:r>
      <w:r w:rsidRPr="007C1442">
        <w:rPr>
          <w:rFonts w:ascii="Calibri"/>
          <w:spacing w:val="-1"/>
        </w:rPr>
        <w:t xml:space="preserve">1 </w:t>
      </w:r>
      <w:r>
        <w:rPr>
          <w:rFonts w:ascii="Calibri"/>
          <w:spacing w:val="-1"/>
        </w:rPr>
        <w:t>for</w:t>
      </w:r>
      <w:r w:rsidRPr="007C1442">
        <w:rPr>
          <w:rFonts w:ascii="Calibri"/>
          <w:spacing w:val="-1"/>
        </w:rPr>
        <w:t xml:space="preserve"> fellowships </w:t>
      </w:r>
      <w:r>
        <w:rPr>
          <w:rFonts w:ascii="Calibri"/>
          <w:spacing w:val="-1"/>
        </w:rPr>
        <w:t>beginning July</w:t>
      </w:r>
      <w:r w:rsidRPr="007C1442">
        <w:rPr>
          <w:rFonts w:ascii="Calibri"/>
          <w:spacing w:val="-1"/>
        </w:rPr>
        <w:t xml:space="preserve"> 1.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proofErr w:type="gramStart"/>
      <w:r w:rsidRPr="007C1442">
        <w:rPr>
          <w:rFonts w:ascii="Calibri"/>
          <w:b/>
          <w:spacing w:val="-1"/>
        </w:rPr>
        <w:t>Application Process.</w:t>
      </w:r>
      <w:proofErr w:type="gramEnd"/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Submission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of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 application that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includes</w:t>
      </w:r>
      <w:r w:rsidRPr="007C1442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letter, of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no more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than three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pages,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stating short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 long term professional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goals,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clinical</w:t>
      </w:r>
      <w:r w:rsidRPr="007C1442">
        <w:rPr>
          <w:rFonts w:ascii="Calibri"/>
          <w:spacing w:val="-1"/>
        </w:rPr>
        <w:t xml:space="preserve"> or other </w:t>
      </w:r>
      <w:r>
        <w:rPr>
          <w:rFonts w:ascii="Calibri"/>
          <w:spacing w:val="-1"/>
        </w:rPr>
        <w:t>pertinent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background,</w:t>
      </w:r>
      <w:r w:rsidRPr="007C1442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statement</w:t>
      </w:r>
      <w:r w:rsidRPr="007C1442">
        <w:rPr>
          <w:rFonts w:ascii="Calibri"/>
          <w:spacing w:val="-1"/>
        </w:rPr>
        <w:t xml:space="preserve"> of </w:t>
      </w:r>
      <w:r>
        <w:rPr>
          <w:rFonts w:ascii="Calibri"/>
          <w:spacing w:val="-1"/>
        </w:rPr>
        <w:t>personal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goals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for</w:t>
      </w:r>
      <w:r w:rsidRPr="007C1442">
        <w:rPr>
          <w:rFonts w:ascii="Calibri"/>
          <w:spacing w:val="-1"/>
        </w:rPr>
        <w:t xml:space="preserve"> the </w:t>
      </w:r>
      <w:r>
        <w:rPr>
          <w:rFonts w:ascii="Calibri"/>
          <w:spacing w:val="-1"/>
        </w:rPr>
        <w:t>fellowship,</w:t>
      </w:r>
      <w:r w:rsidRPr="007C1442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full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curriculum vitae,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 three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letters</w:t>
      </w:r>
      <w:r w:rsidRPr="007C1442">
        <w:rPr>
          <w:rFonts w:ascii="Calibri"/>
          <w:spacing w:val="-1"/>
        </w:rPr>
        <w:t xml:space="preserve"> of </w:t>
      </w:r>
      <w:r>
        <w:rPr>
          <w:rFonts w:ascii="Calibri"/>
          <w:spacing w:val="-1"/>
        </w:rPr>
        <w:t>recommendation.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r>
        <w:rPr>
          <w:rFonts w:ascii="Calibri"/>
          <w:spacing w:val="-1"/>
        </w:rPr>
        <w:t>Applicants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strongly encouraged to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talk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to </w:t>
      </w:r>
      <w:r w:rsidRPr="007C1442">
        <w:rPr>
          <w:rFonts w:ascii="Calibri"/>
          <w:spacing w:val="-1"/>
        </w:rPr>
        <w:t xml:space="preserve">Dr. </w:t>
      </w:r>
      <w:r>
        <w:rPr>
          <w:rFonts w:ascii="Calibri"/>
          <w:spacing w:val="-1"/>
        </w:rPr>
        <w:t>Powell-Cope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before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applying.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proofErr w:type="gramStart"/>
      <w:r w:rsidRPr="007C1442">
        <w:rPr>
          <w:rFonts w:ascii="Calibri"/>
          <w:b/>
          <w:spacing w:val="-1"/>
        </w:rPr>
        <w:t>Selection and Selection Criteria.</w:t>
      </w:r>
      <w:proofErr w:type="gramEnd"/>
      <w:r w:rsidRPr="007C1442">
        <w:rPr>
          <w:rFonts w:ascii="Calibri"/>
          <w:spacing w:val="-1"/>
        </w:rPr>
        <w:t xml:space="preserve">  A </w:t>
      </w:r>
      <w:r>
        <w:rPr>
          <w:rFonts w:ascii="Calibri"/>
          <w:spacing w:val="-1"/>
        </w:rPr>
        <w:t>selection committee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will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review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rank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applications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based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on the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following criteria: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quality of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credentials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 experience,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commitment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to</w:t>
      </w:r>
      <w:r w:rsidRPr="007C1442">
        <w:rPr>
          <w:rFonts w:ascii="Calibri"/>
          <w:spacing w:val="-1"/>
        </w:rPr>
        <w:t xml:space="preserve"> remain</w:t>
      </w:r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in</w:t>
      </w:r>
      <w:r>
        <w:rPr>
          <w:rFonts w:ascii="Calibri"/>
          <w:spacing w:val="-1"/>
        </w:rPr>
        <w:t xml:space="preserve"> the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VA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system,</w:t>
      </w:r>
      <w:r w:rsidRPr="007C1442">
        <w:rPr>
          <w:rFonts w:ascii="Calibri"/>
          <w:spacing w:val="-1"/>
        </w:rPr>
        <w:t xml:space="preserve"> match</w:t>
      </w:r>
      <w:r>
        <w:rPr>
          <w:rFonts w:ascii="Calibri"/>
          <w:spacing w:val="-1"/>
        </w:rPr>
        <w:t xml:space="preserve"> between personal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goals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 planned program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activities,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and</w:t>
      </w:r>
      <w:r w:rsidRPr="007C144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strength</w:t>
      </w:r>
      <w:r w:rsidRPr="007C1442">
        <w:rPr>
          <w:rFonts w:ascii="Calibri"/>
          <w:spacing w:val="-1"/>
        </w:rPr>
        <w:t xml:space="preserve"> of </w:t>
      </w:r>
      <w:r>
        <w:rPr>
          <w:rFonts w:ascii="Calibri"/>
          <w:spacing w:val="-1"/>
        </w:rPr>
        <w:t>recommendations.</w:t>
      </w:r>
    </w:p>
    <w:p w:rsidR="00131908" w:rsidRPr="007C1442" w:rsidRDefault="00131908" w:rsidP="007C1442">
      <w:pPr>
        <w:pStyle w:val="TableParagraph"/>
        <w:tabs>
          <w:tab w:val="left" w:pos="1776"/>
        </w:tabs>
        <w:spacing w:before="119" w:line="239" w:lineRule="auto"/>
        <w:ind w:left="119" w:right="228"/>
        <w:rPr>
          <w:rFonts w:ascii="Calibri"/>
          <w:spacing w:val="-1"/>
        </w:rPr>
      </w:pPr>
      <w:r w:rsidRPr="007C1442">
        <w:rPr>
          <w:rFonts w:ascii="Calibri"/>
          <w:spacing w:val="-1"/>
        </w:rPr>
        <w:t>For information about these and other fellowships in the VA you can check the VA's web page at:</w:t>
      </w:r>
      <w:hyperlink r:id="rId7">
        <w:r w:rsidRPr="007C1442">
          <w:rPr>
            <w:rFonts w:ascii="Calibri"/>
            <w:b/>
            <w:spacing w:val="-1"/>
          </w:rPr>
          <w:t xml:space="preserve"> http://www.va.gov/oaa</w:t>
        </w:r>
      </w:hyperlink>
      <w:r w:rsidRPr="007C1442">
        <w:rPr>
          <w:rFonts w:ascii="Calibri"/>
          <w:spacing w:val="-1"/>
        </w:rPr>
        <w:t xml:space="preserve"> or the </w:t>
      </w:r>
      <w:hyperlink r:id="rId8">
        <w:r w:rsidRPr="007C1442">
          <w:rPr>
            <w:rFonts w:ascii="Calibri"/>
            <w:spacing w:val="-1"/>
          </w:rPr>
          <w:t>Center web page at</w:t>
        </w:r>
      </w:hyperlink>
      <w:r w:rsidRPr="007C1442">
        <w:rPr>
          <w:rFonts w:ascii="Calibri"/>
          <w:spacing w:val="-1"/>
        </w:rPr>
        <w:t xml:space="preserve"> </w:t>
      </w:r>
      <w:hyperlink r:id="rId9">
        <w:r w:rsidRPr="007C1442">
          <w:rPr>
            <w:rFonts w:ascii="Calibri"/>
            <w:b/>
            <w:spacing w:val="-1"/>
          </w:rPr>
          <w:t>http://www.rorc.research.va.gov</w:t>
        </w:r>
      </w:hyperlink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or</w:t>
      </w:r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contact</w:t>
      </w:r>
      <w:r w:rsidR="007C1442"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Dr.</w:t>
      </w:r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Gail</w:t>
      </w:r>
      <w:r>
        <w:rPr>
          <w:rFonts w:ascii="Calibri"/>
          <w:spacing w:val="-1"/>
        </w:rPr>
        <w:t xml:space="preserve"> </w:t>
      </w:r>
      <w:hyperlink r:id="rId10">
        <w:r w:rsidRPr="007C1442">
          <w:rPr>
            <w:rFonts w:ascii="Calibri"/>
            <w:spacing w:val="-1"/>
          </w:rPr>
          <w:t>Powell-Cope</w:t>
        </w:r>
        <w:r>
          <w:rPr>
            <w:rFonts w:ascii="Calibri"/>
            <w:spacing w:val="-1"/>
          </w:rPr>
          <w:t xml:space="preserve"> </w:t>
        </w:r>
        <w:r w:rsidRPr="007C1442">
          <w:rPr>
            <w:rFonts w:ascii="Calibri"/>
            <w:spacing w:val="-1"/>
          </w:rPr>
          <w:t>at</w:t>
        </w:r>
      </w:hyperlink>
      <w:r>
        <w:rPr>
          <w:rFonts w:ascii="Calibri"/>
          <w:spacing w:val="-1"/>
        </w:rPr>
        <w:t xml:space="preserve"> </w:t>
      </w:r>
      <w:hyperlink r:id="rId11">
        <w:r w:rsidRPr="007C1442">
          <w:rPr>
            <w:rFonts w:ascii="Calibri"/>
            <w:spacing w:val="-1"/>
          </w:rPr>
          <w:t>gail.powell-cope@va.gov</w:t>
        </w:r>
      </w:hyperlink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or</w:t>
      </w:r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call</w:t>
      </w:r>
      <w:r>
        <w:rPr>
          <w:rFonts w:ascii="Calibri"/>
          <w:spacing w:val="-1"/>
        </w:rPr>
        <w:t xml:space="preserve"> </w:t>
      </w:r>
      <w:r w:rsidRPr="007C1442">
        <w:rPr>
          <w:rFonts w:ascii="Calibri"/>
          <w:spacing w:val="-1"/>
        </w:rPr>
        <w:t>813-558-3911.</w:t>
      </w:r>
    </w:p>
    <w:p w:rsidR="006C1D9C" w:rsidRDefault="006C1D9C"/>
    <w:sectPr w:rsidR="006C1D9C">
      <w:type w:val="continuous"/>
      <w:pgSz w:w="12240" w:h="15840"/>
      <w:pgMar w:top="64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01AF"/>
    <w:rsid w:val="00131908"/>
    <w:rsid w:val="006001AF"/>
    <w:rsid w:val="006C1D9C"/>
    <w:rsid w:val="007C1442"/>
    <w:rsid w:val="00C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o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.gov/o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gail.powell-cope@v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rc.research.v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rc.research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3023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Fellowship Opportunities</vt:lpstr>
    </vt:vector>
  </TitlesOfParts>
  <Company>Department of Veterans Affairs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Fellowship Opportunities</dc:title>
  <dc:subject>Fellowships</dc:subject>
  <dc:creator>VISN 8 Patient Safety Center of Inquiry</dc:creator>
  <cp:keywords>fellowship, health services research, patient safety</cp:keywords>
  <cp:lastModifiedBy>Department of Veterans Affairs</cp:lastModifiedBy>
  <cp:revision>5</cp:revision>
  <dcterms:created xsi:type="dcterms:W3CDTF">2016-07-05T15:26:00Z</dcterms:created>
  <dcterms:modified xsi:type="dcterms:W3CDTF">2016-07-06T09:07:00Z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  <property fmtid="{D5CDD505-2E9C-101B-9397-08002B2CF9AE}" pid="4" name="DateCreated">
    <vt:lpwstr>07062016</vt:lpwstr>
  </property>
  <property fmtid="{D5CDD505-2E9C-101B-9397-08002B2CF9AE}" pid="5" name="DateReviewed">
    <vt:lpwstr>07062016</vt:lpwstr>
  </property>
  <property fmtid="{D5CDD505-2E9C-101B-9397-08002B2CF9AE}" pid="6" name="Language">
    <vt:lpwstr>en</vt:lpwstr>
  </property>
  <property fmtid="{D5CDD505-2E9C-101B-9397-08002B2CF9AE}" pid="7" name="Type">
    <vt:lpwstr>General</vt:lpwstr>
  </property>
</Properties>
</file>